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E" w:rsidRDefault="004D002F" w:rsidP="009519FE">
      <w:pPr>
        <w:ind w:left="-1560" w:right="85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95pt;margin-top:5.55pt;width:670.35pt;height:101.8pt;z-index:251658240" stroked="f">
            <v:textbox>
              <w:txbxContent>
                <w:p w:rsidR="001337DA" w:rsidRDefault="001337DA" w:rsidP="001337DA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7"/>
                      <w:szCs w:val="27"/>
                      <w:u w:val="single"/>
                    </w:rPr>
                    <w:t>Медиация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7"/>
                      <w:szCs w:val="27"/>
                    </w:rPr>
                    <w:t xml:space="preserve"> – это процесс, в котором участвует третья сторона, помогающая урегулировать разногласия между конфликтующими сторонами и по возможности их разрешить.</w:t>
                  </w:r>
                </w:p>
                <w:p w:rsidR="009519FE" w:rsidRPr="001337DA" w:rsidRDefault="001337DA" w:rsidP="001337DA">
                  <w:pPr>
                    <w:widowControl w:val="0"/>
                    <w:tabs>
                      <w:tab w:val="left" w:pos="13892"/>
                    </w:tabs>
                    <w:rPr>
                      <w:rFonts w:ascii="Book Antiqua" w:hAnsi="Book Antiqua"/>
                      <w:sz w:val="18"/>
                      <w:szCs w:val="18"/>
                    </w:rPr>
                  </w:pPr>
                  <w:r>
                    <w:t> </w:t>
                  </w:r>
                  <w:r w:rsidR="009519FE" w:rsidRPr="001337DA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Медиатор</w:t>
                  </w:r>
                  <w:r w:rsidR="009519FE" w:rsidRPr="001337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(посредник</w:t>
                  </w:r>
                  <w:proofErr w:type="gramStart"/>
                  <w:r w:rsidR="0063768C" w:rsidRPr="001337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 w:rsidR="009519FE" w:rsidRPr="001337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)</w:t>
                  </w:r>
                  <w:proofErr w:type="gramEnd"/>
                  <w:r w:rsidR="009519FE" w:rsidRPr="001337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—</w:t>
                  </w:r>
                  <w:r w:rsidR="009519FE" w:rsidRPr="0063768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9519FE" w:rsidRPr="002D7AA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человек или группа людей, которые, являясь третьей нейтральной, незав</w:t>
                  </w:r>
                  <w:r w:rsidR="009519FE" w:rsidRPr="002D7AA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</w:t>
                  </w:r>
                  <w:r w:rsidR="009519FE" w:rsidRPr="002D7AA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симой стороной, не заинтересованной в данном конфликте, помогают конфликтующим разрешить имеющийся спор. </w:t>
                  </w:r>
                </w:p>
                <w:p w:rsidR="009519FE" w:rsidRDefault="009519FE" w:rsidP="001337D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</w:p>
                <w:p w:rsidR="009519FE" w:rsidRPr="009519FE" w:rsidRDefault="009519FE" w:rsidP="009519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i/>
                      <w:sz w:val="28"/>
                      <w:szCs w:val="28"/>
                      <w:lang w:eastAsia="ru-RU"/>
                    </w:rPr>
                  </w:pPr>
                </w:p>
                <w:p w:rsidR="009519FE" w:rsidRDefault="009519FE"/>
              </w:txbxContent>
            </v:textbox>
          </v:shape>
        </w:pict>
      </w:r>
      <w:r w:rsidR="001337D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180340</wp:posOffset>
            </wp:positionV>
            <wp:extent cx="942340" cy="898525"/>
            <wp:effectExtent l="19050" t="0" r="0" b="0"/>
            <wp:wrapSquare wrapText="bothSides"/>
            <wp:docPr id="2" name="Рисунок 2" descr="Заказать Тренинг по медиации, проведение процедуры медиации в Алматы Казахстан. Стоимость , Информация про Тренинг по медиации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казать Тренинг по медиации, проведение процедуры медиации в Алматы Казахстан. Стоимость , Информация про Тренинг по медиации,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7E9C" w:rsidRDefault="00047E9C" w:rsidP="009519FE"/>
    <w:p w:rsidR="009519FE" w:rsidRDefault="009519FE" w:rsidP="009519FE"/>
    <w:p w:rsidR="009519FE" w:rsidRDefault="009519FE" w:rsidP="009519FE"/>
    <w:tbl>
      <w:tblPr>
        <w:tblStyle w:val="a3"/>
        <w:tblpPr w:leftFromText="180" w:rightFromText="180" w:vertAnchor="text" w:tblpX="-31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22"/>
        <w:gridCol w:w="5223"/>
      </w:tblGrid>
      <w:tr w:rsidR="009519FE" w:rsidTr="00FB25D8">
        <w:tc>
          <w:tcPr>
            <w:tcW w:w="5222" w:type="dxa"/>
          </w:tcPr>
          <w:p w:rsidR="00F07663" w:rsidRPr="001337DA" w:rsidRDefault="00EA414A" w:rsidP="00FB25D8">
            <w:pPr>
              <w:spacing w:before="100" w:beforeAutospacing="1" w:after="100" w:afterAutospacing="1"/>
              <w:ind w:left="142" w:right="328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  <w:t xml:space="preserve">   </w:t>
            </w:r>
            <w:r w:rsidR="009519FE" w:rsidRPr="001337DA"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  <w:t>Заче</w:t>
            </w:r>
            <w:bookmarkStart w:id="0" w:name="_GoBack"/>
            <w:bookmarkEnd w:id="0"/>
            <w:r w:rsidR="009519FE" w:rsidRPr="001337DA"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  <w:t>м нужна медиация</w:t>
            </w:r>
          </w:p>
          <w:p w:rsidR="009519FE" w:rsidRPr="001337DA" w:rsidRDefault="009519FE" w:rsidP="00FB25D8">
            <w:pPr>
              <w:spacing w:before="100" w:beforeAutospacing="1" w:after="100" w:afterAutospacing="1"/>
              <w:ind w:left="142" w:right="328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</w:pPr>
            <w:r w:rsidRPr="001337DA"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  <w:t xml:space="preserve"> школе?</w:t>
            </w:r>
          </w:p>
          <w:p w:rsidR="00FB25D8" w:rsidRDefault="009519FE" w:rsidP="0093035B">
            <w:pPr>
              <w:spacing w:before="100" w:beforeAutospacing="1" w:after="100" w:afterAutospacing="1"/>
              <w:ind w:left="709" w:right="18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Главная цель медиации –</w:t>
            </w:r>
          </w:p>
          <w:p w:rsidR="009519FE" w:rsidRPr="004A1E17" w:rsidRDefault="009519FE" w:rsidP="0093035B">
            <w:pPr>
              <w:spacing w:before="100" w:beforeAutospacing="1" w:after="100" w:afterAutospacing="1"/>
              <w:ind w:left="709" w:right="18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превратить школу в безопасное, </w:t>
            </w:r>
            <w:r w:rsidR="00FB25D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комфортное  пространство для всех </w:t>
            </w:r>
            <w:r w:rsidR="0093035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участников образовател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ь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ного про</w:t>
            </w:r>
            <w:r w:rsidR="00FB25D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цесса     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FB25D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(учеников,  учителей, родителей и т.д.).</w:t>
            </w:r>
          </w:p>
          <w:p w:rsidR="009519FE" w:rsidRDefault="009519FE" w:rsidP="0093035B">
            <w:pPr>
              <w:ind w:left="851" w:right="328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</w:t>
            </w:r>
            <w:r w:rsidR="00FB25D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Школьная медиация нужна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для мирного решения проблем, </w:t>
            </w:r>
            <w:r w:rsidR="00FB25D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снижения уровня насилия в школе и сохранения добрых отношений. В мировой практике это один из способов разрешения споров, в </w:t>
            </w:r>
            <w:r w:rsidR="002A4D5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котором нейтральная сторона,</w:t>
            </w:r>
            <w:r w:rsidR="002701F0"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называ</w:t>
            </w:r>
            <w:r w:rsidR="002701F0"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</w:t>
            </w:r>
            <w:r w:rsidR="002701F0"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мая медиатором,</w:t>
            </w:r>
            <w:r w:rsidR="002A4D5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15C89"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спо</w:t>
            </w:r>
            <w:r w:rsidR="00615C8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 w:rsidR="00615C89"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обствует</w:t>
            </w:r>
            <w:r w:rsidR="002A4D5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</w:t>
            </w:r>
            <w:r w:rsidR="002A4D5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ы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</w:t>
            </w:r>
            <w:r w:rsidR="002A4D5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ботке внесудебного реш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ния. </w:t>
            </w:r>
          </w:p>
          <w:p w:rsidR="00FA5CEC" w:rsidRDefault="00FA5CEC" w:rsidP="00FB25D8">
            <w:pPr>
              <w:spacing w:after="180" w:line="30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8"/>
                <w:lang w:eastAsia="ru-RU"/>
              </w:rPr>
            </w:pPr>
          </w:p>
          <w:p w:rsidR="00D616B9" w:rsidRPr="00FA5CEC" w:rsidRDefault="00B47BFB" w:rsidP="00FB25D8">
            <w:pPr>
              <w:spacing w:after="180" w:line="300" w:lineRule="auto"/>
              <w:jc w:val="center"/>
              <w:rPr>
                <w:rFonts w:eastAsia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244061" w:themeColor="accent1" w:themeShade="80"/>
                <w:kern w:val="28"/>
                <w:lang w:eastAsia="ru-RU"/>
              </w:rPr>
              <w:t xml:space="preserve"> </w:t>
            </w:r>
          </w:p>
          <w:p w:rsidR="00FA15D6" w:rsidRDefault="00EA414A" w:rsidP="00FB25D8">
            <w:pPr>
              <w:spacing w:after="180" w:line="30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</w:t>
            </w:r>
            <w:r w:rsidR="00FA15D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FB25D8" w:rsidRDefault="00FA15D6" w:rsidP="00FB25D8">
            <w:pPr>
              <w:spacing w:after="180" w:line="30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EA414A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D616B9" w:rsidRPr="00FA15D6" w:rsidRDefault="00FB25D8" w:rsidP="00FB25D8">
            <w:pPr>
              <w:spacing w:after="180" w:line="300" w:lineRule="auto"/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="00D616B9" w:rsidRPr="00FA15D6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Если вы решили обратит</w:t>
            </w:r>
            <w:r w:rsidR="00D616B9" w:rsidRPr="00FA15D6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ь</w:t>
            </w:r>
            <w:r w:rsidR="00D616B9" w:rsidRPr="00FA15D6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ся в службу,</w:t>
            </w:r>
          </w:p>
          <w:p w:rsidR="002A4D52" w:rsidRPr="00EA414A" w:rsidRDefault="00D616B9" w:rsidP="00FB25D8">
            <w:pPr>
              <w:spacing w:after="180" w:line="300" w:lineRule="auto"/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FA15D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A15D6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то вам надо подойти</w:t>
            </w:r>
          </w:p>
          <w:p w:rsidR="00D616B9" w:rsidRPr="00EA414A" w:rsidRDefault="004D002F" w:rsidP="00FB25D8">
            <w:pPr>
              <w:spacing w:after="180" w:line="300" w:lineRule="auto"/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Васильковой Н.А.</w:t>
            </w:r>
          </w:p>
          <w:p w:rsidR="00EA414A" w:rsidRPr="00EA414A" w:rsidRDefault="00EA414A" w:rsidP="00FB25D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После этого с каждым из участников встретится  ведущий программы пр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мирения для обсуждения его отнош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ния к случившемуся и желания учас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вовать во встрече.</w:t>
            </w:r>
          </w:p>
          <w:p w:rsidR="00EA414A" w:rsidRPr="00EA414A" w:rsidRDefault="00EA414A" w:rsidP="00FB25D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В случае добровольного согласия сторон, ведущий программы пров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дит примирительную встречу, на к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торой обсуждаются следующие в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414A">
              <w:rPr>
                <w:rFonts w:ascii="Times New Roman" w:hAnsi="Times New Roman" w:cs="Times New Roman"/>
                <w:sz w:val="26"/>
                <w:szCs w:val="26"/>
              </w:rPr>
              <w:t>просы:</w:t>
            </w:r>
          </w:p>
          <w:p w:rsidR="00EA414A" w:rsidRPr="007050CB" w:rsidRDefault="00EA414A" w:rsidP="00FB25D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  <w:r w:rsidRPr="007050CB">
              <w:rPr>
                <w:rFonts w:ascii="Times New Roman" w:hAnsi="Times New Roman" w:cs="Times New Roman"/>
                <w:sz w:val="26"/>
                <w:szCs w:val="26"/>
              </w:rPr>
              <w:t>Каковы последствия ситуации для обеих сторон;</w:t>
            </w:r>
          </w:p>
          <w:p w:rsidR="00EA414A" w:rsidRPr="007050CB" w:rsidRDefault="00EA414A" w:rsidP="00FB25D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  <w:r w:rsidRPr="007050CB">
              <w:rPr>
                <w:rFonts w:ascii="Times New Roman" w:hAnsi="Times New Roman" w:cs="Times New Roman"/>
                <w:sz w:val="26"/>
                <w:szCs w:val="26"/>
              </w:rPr>
              <w:t>Каким образом разрешить ситу</w:t>
            </w:r>
            <w:r w:rsidRPr="007050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50CB">
              <w:rPr>
                <w:rFonts w:ascii="Times New Roman" w:hAnsi="Times New Roman" w:cs="Times New Roman"/>
                <w:sz w:val="26"/>
                <w:szCs w:val="26"/>
              </w:rPr>
              <w:t>цию;</w:t>
            </w:r>
          </w:p>
          <w:p w:rsidR="00EA414A" w:rsidRPr="007050CB" w:rsidRDefault="00EA414A" w:rsidP="00FB25D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  <w:r w:rsidR="004D002F">
              <w:rPr>
                <w:rFonts w:ascii="Times New Roman" w:hAnsi="Times New Roman" w:cs="Times New Roman"/>
                <w:sz w:val="26"/>
                <w:szCs w:val="26"/>
              </w:rPr>
              <w:t>Как сделать</w:t>
            </w:r>
            <w:r w:rsidRPr="007050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0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0CB">
              <w:rPr>
                <w:rFonts w:ascii="Times New Roman" w:hAnsi="Times New Roman" w:cs="Times New Roman"/>
                <w:sz w:val="26"/>
                <w:szCs w:val="26"/>
              </w:rPr>
              <w:t>чтобы этого не п</w:t>
            </w:r>
            <w:r w:rsidRPr="007050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050CB">
              <w:rPr>
                <w:rFonts w:ascii="Times New Roman" w:hAnsi="Times New Roman" w:cs="Times New Roman"/>
                <w:sz w:val="26"/>
                <w:szCs w:val="26"/>
              </w:rPr>
              <w:t>вторилось.</w:t>
            </w:r>
          </w:p>
          <w:p w:rsidR="00EA414A" w:rsidRDefault="00EA414A" w:rsidP="00FB25D8">
            <w:pPr>
              <w:spacing w:after="180" w:line="30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16B9" w:rsidRPr="00D616B9" w:rsidRDefault="00D616B9" w:rsidP="00FB25D8">
            <w:pPr>
              <w:spacing w:after="180" w:line="300" w:lineRule="auto"/>
              <w:ind w:left="-142"/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:rsidR="00F07663" w:rsidRPr="001337DA" w:rsidRDefault="00F07663" w:rsidP="00FB2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</w:pPr>
            <w:r w:rsidRPr="001337DA"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  <w:lastRenderedPageBreak/>
              <w:t xml:space="preserve">Зачем медиация нужна </w:t>
            </w:r>
          </w:p>
          <w:p w:rsidR="00F07663" w:rsidRPr="001337DA" w:rsidRDefault="00F07663" w:rsidP="00FB2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</w:pPr>
            <w:r w:rsidRPr="001337DA"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  <w:t>родителям?</w:t>
            </w:r>
          </w:p>
          <w:p w:rsidR="00F07663" w:rsidRDefault="00F07663" w:rsidP="00FB25D8">
            <w:pPr>
              <w:spacing w:before="100" w:beforeAutospacing="1" w:after="100" w:afterAutospacing="1"/>
              <w:ind w:left="165" w:right="163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Медиация позволяет разрешать конфликт, выявляя его причину и движущую силу, предотвращать ко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фликты, оберегать детей и подростков от агрессивного, порой отвергающего воздействия окружающей среды, ко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ректировать поведение тех, кто уже оступился. </w:t>
            </w:r>
          </w:p>
          <w:p w:rsidR="00F07663" w:rsidRDefault="00615C89" w:rsidP="00FB25D8">
            <w:pPr>
              <w:spacing w:before="100" w:beforeAutospacing="1" w:after="100" w:afterAutospacing="1"/>
              <w:ind w:left="165" w:right="163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1E03CC7" wp14:editId="428893EE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977265</wp:posOffset>
                  </wp:positionV>
                  <wp:extent cx="2091690" cy="1567180"/>
                  <wp:effectExtent l="19050" t="0" r="3810" b="0"/>
                  <wp:wrapThrough wrapText="bothSides">
                    <wp:wrapPolygon edited="0">
                      <wp:start x="-197" y="0"/>
                      <wp:lineTo x="-197" y="21267"/>
                      <wp:lineTo x="21639" y="21267"/>
                      <wp:lineTo x="21639" y="0"/>
                      <wp:lineTo x="-197" y="0"/>
                    </wp:wrapPolygon>
                  </wp:wrapThrough>
                  <wp:docPr id="1" name="Рисунок 1" descr="Продукты и услуги компании Feldstein Family Law Group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дукты и услуги компании Feldstein Family Law Group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</w:t>
            </w:r>
            <w:r w:rsidR="00F07663"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Кроме того,  медиация – это и</w:t>
            </w:r>
            <w:r w:rsidR="00F07663"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  <w:r w:rsidR="00F07663"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струмент помощи в разрешении ко</w:t>
            </w:r>
            <w:r w:rsidR="00F07663"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  <w:r w:rsidR="00F07663"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фликтов между детьми-школьниками, между детьми и взрослыми. </w:t>
            </w:r>
          </w:p>
          <w:p w:rsidR="00FA5CEC" w:rsidRDefault="00FA5CEC" w:rsidP="00FB25D8">
            <w:pPr>
              <w:spacing w:before="100" w:beforeAutospacing="1" w:after="100" w:afterAutospacing="1"/>
              <w:ind w:left="165" w:right="163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A5CEC" w:rsidRDefault="00FA5CEC" w:rsidP="00FB25D8">
            <w:pPr>
              <w:spacing w:before="100" w:beforeAutospacing="1" w:after="100" w:afterAutospacing="1"/>
              <w:ind w:left="165" w:right="163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A5CEC" w:rsidRDefault="00FA5CEC" w:rsidP="00FB25D8">
            <w:pPr>
              <w:spacing w:before="100" w:beforeAutospacing="1" w:after="100" w:afterAutospacing="1"/>
              <w:ind w:left="165" w:right="163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A5CEC" w:rsidRDefault="00FA5CEC" w:rsidP="00FB25D8">
            <w:pPr>
              <w:spacing w:before="100" w:beforeAutospacing="1" w:after="100" w:afterAutospacing="1"/>
              <w:ind w:left="165" w:right="163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jc w:val="center"/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kern w:val="28"/>
                <w:sz w:val="44"/>
                <w:szCs w:val="44"/>
                <w:u w:val="single"/>
                <w:lang w:eastAsia="ru-RU"/>
              </w:rPr>
            </w:pPr>
            <w:r w:rsidRPr="00EA414A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kern w:val="28"/>
                <w:sz w:val="44"/>
                <w:szCs w:val="44"/>
                <w:u w:val="single"/>
                <w:lang w:eastAsia="ru-RU"/>
              </w:rPr>
              <w:t>Состав ШСП</w:t>
            </w:r>
            <w:r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kern w:val="28"/>
                <w:sz w:val="44"/>
                <w:szCs w:val="44"/>
                <w:u w:val="single"/>
                <w:lang w:eastAsia="ru-RU"/>
              </w:rPr>
              <w:t>:</w:t>
            </w: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</w:pPr>
          </w:p>
          <w:p w:rsidR="00EA414A" w:rsidRP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</w:pPr>
            <w:r w:rsidRPr="00EA41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  <w:t>Василькова  Н.А.</w:t>
            </w:r>
          </w:p>
          <w:p w:rsidR="00EA414A" w:rsidRP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</w:pPr>
            <w:r w:rsidRPr="00EA41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  <w:t>Заместитель директора по В.</w:t>
            </w:r>
            <w:proofErr w:type="gramStart"/>
            <w:r w:rsidRPr="00EA41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  <w:t>Р</w:t>
            </w:r>
            <w:proofErr w:type="gramEnd"/>
          </w:p>
          <w:p w:rsidR="00EA414A" w:rsidRP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</w:pPr>
          </w:p>
          <w:p w:rsidR="00EA414A" w:rsidRPr="00EA414A" w:rsidRDefault="004D002F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  <w:t>Ягудина Г.И</w:t>
            </w:r>
            <w:r w:rsidR="00EA414A" w:rsidRPr="00EA41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  <w:t>. педагог-психолог</w:t>
            </w:r>
          </w:p>
          <w:p w:rsidR="00EA414A" w:rsidRP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</w:pPr>
          </w:p>
          <w:p w:rsidR="00EA414A" w:rsidRPr="00EA414A" w:rsidRDefault="004D002F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  <w:t>Смола Л.Ю</w:t>
            </w:r>
            <w:r w:rsidR="00EA414A" w:rsidRPr="00EA41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  <w:t xml:space="preserve">. социальный педагог  </w:t>
            </w:r>
          </w:p>
          <w:p w:rsidR="00EA414A" w:rsidRDefault="00EA414A" w:rsidP="004D002F">
            <w:pPr>
              <w:widowControl w:val="0"/>
              <w:ind w:right="163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</w:pPr>
          </w:p>
          <w:p w:rsidR="00EA414A" w:rsidRPr="00EA414A" w:rsidRDefault="004D002F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  <w:t>Молодкина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  <w:t xml:space="preserve"> Т.Ю. </w:t>
            </w:r>
            <w:r w:rsidR="00EA414A" w:rsidRPr="00EA41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kern w:val="28"/>
                <w:sz w:val="28"/>
                <w:szCs w:val="28"/>
                <w:lang w:eastAsia="ru-RU"/>
              </w:rPr>
              <w:t>методист</w:t>
            </w:r>
          </w:p>
          <w:p w:rsidR="00EA414A" w:rsidRDefault="00EA414A" w:rsidP="00FB25D8">
            <w:pPr>
              <w:widowControl w:val="0"/>
              <w:ind w:left="307" w:right="163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0C9FF232" wp14:editId="6F1B2EBE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104775</wp:posOffset>
                  </wp:positionV>
                  <wp:extent cx="2381250" cy="1727200"/>
                  <wp:effectExtent l="0" t="0" r="0" b="0"/>
                  <wp:wrapThrough wrapText="bothSides">
                    <wp:wrapPolygon edited="0">
                      <wp:start x="0" y="0"/>
                      <wp:lineTo x="0" y="21441"/>
                      <wp:lineTo x="21427" y="21441"/>
                      <wp:lineTo x="21427" y="0"/>
                      <wp:lineTo x="0" y="0"/>
                    </wp:wrapPolygon>
                  </wp:wrapThrough>
                  <wp:docPr id="7" name="Рисунок 3" descr="Office of Hearings and Appeals Department of Ener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ffice of Hearings and Appeals Department of Ener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EA414A" w:rsidRDefault="00EA414A" w:rsidP="00FB25D8">
            <w:pPr>
              <w:widowControl w:val="0"/>
              <w:ind w:left="307" w:right="163"/>
              <w:rPr>
                <w:rFonts w:ascii="Times New Roman" w:eastAsia="Times New Roman" w:hAnsi="Times New Roman" w:cs="Times New Roman"/>
                <w:color w:val="244061" w:themeColor="accent1" w:themeShade="80"/>
                <w:kern w:val="28"/>
                <w:sz w:val="28"/>
                <w:szCs w:val="28"/>
                <w:lang w:eastAsia="ru-RU"/>
              </w:rPr>
            </w:pPr>
          </w:p>
          <w:p w:rsidR="00FA5CEC" w:rsidRDefault="00FA5CEC" w:rsidP="00FB25D8">
            <w:pPr>
              <w:widowControl w:val="0"/>
              <w:ind w:left="307" w:right="163"/>
              <w:rPr>
                <w:rFonts w:ascii="Book Antiqua" w:hAnsi="Book Antiqua"/>
                <w:sz w:val="18"/>
                <w:szCs w:val="18"/>
              </w:rPr>
            </w:pPr>
            <w:r>
              <w:t> </w:t>
            </w:r>
          </w:p>
          <w:p w:rsidR="00FA5CEC" w:rsidRPr="001B3FBB" w:rsidRDefault="00FA5CEC" w:rsidP="00FB25D8">
            <w:pPr>
              <w:spacing w:before="100" w:beforeAutospacing="1" w:after="100" w:afterAutospacing="1"/>
              <w:ind w:right="163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7663" w:rsidRDefault="00F07663" w:rsidP="00FB25D8"/>
        </w:tc>
        <w:tc>
          <w:tcPr>
            <w:tcW w:w="5223" w:type="dxa"/>
          </w:tcPr>
          <w:p w:rsidR="00F07663" w:rsidRPr="001337DA" w:rsidRDefault="00F07663" w:rsidP="00FB2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</w:pPr>
            <w:r w:rsidRPr="001337DA"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  <w:lastRenderedPageBreak/>
              <w:t xml:space="preserve">Зачем медиация нужна </w:t>
            </w:r>
          </w:p>
          <w:p w:rsidR="00F07663" w:rsidRPr="001337DA" w:rsidRDefault="00F07663" w:rsidP="00FB25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</w:pPr>
            <w:r w:rsidRPr="001337DA">
              <w:rPr>
                <w:rFonts w:ascii="Times New Roman" w:eastAsia="Times New Roman" w:hAnsi="Times New Roman"/>
                <w:b/>
                <w:color w:val="244061" w:themeColor="accent1" w:themeShade="80"/>
                <w:sz w:val="36"/>
                <w:szCs w:val="24"/>
                <w:lang w:eastAsia="ru-RU"/>
              </w:rPr>
              <w:t>детям?</w:t>
            </w:r>
          </w:p>
          <w:p w:rsidR="00F07663" w:rsidRDefault="00F07663" w:rsidP="00FB25D8">
            <w:pPr>
              <w:spacing w:before="100" w:beforeAutospacing="1" w:after="100" w:afterAutospacing="1"/>
              <w:ind w:left="46" w:right="28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процессе медиации каждый участник, как ребенок, так и </w:t>
            </w:r>
            <w:hyperlink r:id="rId12" w:tgtFrame="_blank" w:history="1">
              <w:r w:rsidRPr="004A1E17">
                <w:rPr>
                  <w:rFonts w:ascii="Times New Roman" w:eastAsia="Times New Roman" w:hAnsi="Times New Roman"/>
                  <w:color w:val="000000"/>
                  <w:sz w:val="28"/>
                  <w:szCs w:val="24"/>
                  <w:lang w:eastAsia="ru-RU"/>
                </w:rPr>
                <w:t>взрослый</w:t>
              </w:r>
            </w:hyperlink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как обидчик, так и «жертва», может рассчиты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вать на то, что будет высл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шан,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его постараются понять, он см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жет высказать свою позицию и вид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ние ситуации, а также может предл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жить свою альтернативу разрешения конфликта. </w:t>
            </w:r>
          </w:p>
          <w:p w:rsidR="00F07663" w:rsidRDefault="00F07663" w:rsidP="00FB25D8">
            <w:pPr>
              <w:spacing w:before="100" w:beforeAutospacing="1" w:after="100" w:afterAutospacing="1"/>
              <w:ind w:left="46" w:right="283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Такое общение в доверительной, уважительной обстановке, созда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ет </w:t>
            </w:r>
            <w:r w:rsidR="00615C8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необходимое чувство безопасности, где  мо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жно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решить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спор, где ст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роны могут прийти к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глашению,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к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торое,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скорее всего,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бу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 р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ализ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4A1E1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ано.</w:t>
            </w:r>
          </w:p>
          <w:p w:rsidR="0063768C" w:rsidRDefault="00944BFE" w:rsidP="00FB25D8">
            <w:pPr>
              <w:spacing w:before="100" w:beforeAutospacing="1" w:after="100" w:afterAutospacing="1"/>
              <w:ind w:right="28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0DD3347" wp14:editId="4104CED5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-749300</wp:posOffset>
                  </wp:positionV>
                  <wp:extent cx="1615440" cy="1355725"/>
                  <wp:effectExtent l="19050" t="0" r="3810" b="0"/>
                  <wp:wrapSquare wrapText="bothSides"/>
                  <wp:docPr id="4" name="Рисунок 1" descr="Описание: http://shahti.bezformata.ru/content/image72162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shahti.bezformata.ru/content/image72162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704" r="8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35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768C" w:rsidRPr="0063768C" w:rsidRDefault="0063768C" w:rsidP="00FB25D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</w:pPr>
          </w:p>
          <w:p w:rsidR="00EA414A" w:rsidRDefault="004D002F" w:rsidP="00AD26F7">
            <w:pPr>
              <w:jc w:val="center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>Муниципальное автономное</w:t>
            </w:r>
          </w:p>
          <w:p w:rsidR="0063768C" w:rsidRDefault="00AD26F7" w:rsidP="00AD26F7">
            <w:pPr>
              <w:jc w:val="center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>о</w:t>
            </w:r>
            <w:r w:rsidR="00EA414A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>бщеобразовательное</w:t>
            </w:r>
          </w:p>
          <w:p w:rsidR="00EA414A" w:rsidRDefault="00AD26F7" w:rsidP="00AD26F7">
            <w:pPr>
              <w:jc w:val="center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>у</w:t>
            </w:r>
            <w:r w:rsidR="00EA414A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>чреждение</w:t>
            </w:r>
          </w:p>
          <w:p w:rsidR="004D002F" w:rsidRDefault="004D002F" w:rsidP="00AD26F7">
            <w:pPr>
              <w:jc w:val="center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 xml:space="preserve">«Комплекс </w:t>
            </w:r>
            <w:proofErr w:type="gramStart"/>
            <w:r w:rsidR="00AD26F7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>средняя</w:t>
            </w:r>
            <w:proofErr w:type="gramEnd"/>
            <w:r w:rsidR="00AD26F7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 xml:space="preserve"> общеобразовательная шко</w:t>
            </w: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>ла-детский сад»</w:t>
            </w:r>
          </w:p>
          <w:p w:rsidR="00EA414A" w:rsidRDefault="00EA414A" w:rsidP="00AD26F7">
            <w:pPr>
              <w:jc w:val="center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>г</w:t>
            </w:r>
            <w:r w:rsidR="00AD26F7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  <w:t xml:space="preserve"> Пыть-Ях</w:t>
            </w:r>
          </w:p>
          <w:p w:rsidR="0063768C" w:rsidRPr="0063768C" w:rsidRDefault="0063768C" w:rsidP="004D002F">
            <w:pP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4"/>
                <w:lang w:eastAsia="ru-RU"/>
              </w:rPr>
            </w:pPr>
          </w:p>
          <w:p w:rsidR="0063768C" w:rsidRDefault="0063768C" w:rsidP="00FB25D8">
            <w:pPr>
              <w:pStyle w:val="msoorganizationname"/>
              <w:widowControl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color w:val="244061" w:themeColor="accent1" w:themeShade="80"/>
                <w:sz w:val="16"/>
                <w:szCs w:val="16"/>
              </w:rPr>
            </w:pPr>
          </w:p>
          <w:p w:rsidR="00944BFE" w:rsidRDefault="00944BFE" w:rsidP="00FB25D8">
            <w:pPr>
              <w:pStyle w:val="msoorganizationname"/>
              <w:widowControl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color w:val="244061" w:themeColor="accent1" w:themeShade="80"/>
                <w:sz w:val="16"/>
                <w:szCs w:val="16"/>
              </w:rPr>
            </w:pPr>
          </w:p>
          <w:p w:rsidR="00944BFE" w:rsidRPr="00944BFE" w:rsidRDefault="00EA414A" w:rsidP="00FB25D8">
            <w:pPr>
              <w:pStyle w:val="msoorganizationname"/>
              <w:widowControl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color w:val="244061" w:themeColor="accent1" w:themeShade="8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07FA961" wp14:editId="6C91D809">
                  <wp:extent cx="3086100" cy="2997114"/>
                  <wp:effectExtent l="0" t="0" r="0" b="0"/>
                  <wp:docPr id="6" name="Рисунок 6" descr="http://bor-sch.minsk.edu.by/ru/sm_full.aspx?guid=5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r-sch.minsk.edu.by/ru/sm_full.aspx?guid=5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494" cy="299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68C" w:rsidRPr="0063768C" w:rsidRDefault="0063768C" w:rsidP="00FB25D8">
            <w:pPr>
              <w:pStyle w:val="msoorganizationname"/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44061" w:themeColor="accent1" w:themeShade="80"/>
                <w:sz w:val="32"/>
                <w:szCs w:val="32"/>
              </w:rPr>
            </w:pPr>
          </w:p>
          <w:p w:rsidR="0063768C" w:rsidRPr="0063768C" w:rsidRDefault="0063768C" w:rsidP="00FB25D8">
            <w:pPr>
              <w:pStyle w:val="msoorganizationname"/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44061" w:themeColor="accent1" w:themeShade="80"/>
                <w:sz w:val="32"/>
                <w:szCs w:val="32"/>
              </w:rPr>
            </w:pPr>
          </w:p>
          <w:p w:rsidR="0063768C" w:rsidRPr="0063768C" w:rsidRDefault="0063768C" w:rsidP="00FB25D8">
            <w:pPr>
              <w:pStyle w:val="msoorganizationname"/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44061" w:themeColor="accent1" w:themeShade="80"/>
                <w:sz w:val="32"/>
                <w:szCs w:val="32"/>
              </w:rPr>
            </w:pPr>
          </w:p>
          <w:p w:rsidR="00F07663" w:rsidRPr="0063768C" w:rsidRDefault="00F07663" w:rsidP="00FB25D8">
            <w:pPr>
              <w:pStyle w:val="msoorganizationname"/>
              <w:widowControl w:val="0"/>
              <w:spacing w:line="360" w:lineRule="auto"/>
              <w:jc w:val="center"/>
              <w:rPr>
                <w:rFonts w:ascii="Times New Roman" w:hAnsi="Times New Roman"/>
                <w:bCs/>
                <w:iCs/>
                <w:color w:val="7D3B05"/>
                <w:sz w:val="24"/>
                <w:szCs w:val="24"/>
              </w:rPr>
            </w:pPr>
          </w:p>
        </w:tc>
      </w:tr>
    </w:tbl>
    <w:p w:rsidR="009519FE" w:rsidRPr="00944BFE" w:rsidRDefault="009519FE" w:rsidP="00EA414A">
      <w:pPr>
        <w:ind w:right="-142"/>
        <w:rPr>
          <w:sz w:val="2"/>
          <w:szCs w:val="2"/>
        </w:rPr>
      </w:pPr>
    </w:p>
    <w:sectPr w:rsidR="009519FE" w:rsidRPr="00944BFE" w:rsidSect="0063768C">
      <w:pgSz w:w="16838" w:h="11906" w:orient="landscape"/>
      <w:pgMar w:top="709" w:right="678" w:bottom="709" w:left="709" w:header="708" w:footer="708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7D7E"/>
    <w:multiLevelType w:val="hybridMultilevel"/>
    <w:tmpl w:val="358A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C74A1"/>
    <w:multiLevelType w:val="hybridMultilevel"/>
    <w:tmpl w:val="9230D662"/>
    <w:lvl w:ilvl="0" w:tplc="2E2251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11E1240">
      <w:numFmt w:val="bullet"/>
      <w:lvlText w:val="·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0548A"/>
    <w:multiLevelType w:val="hybridMultilevel"/>
    <w:tmpl w:val="7EEA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D308A"/>
    <w:multiLevelType w:val="hybridMultilevel"/>
    <w:tmpl w:val="90D26D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14C8"/>
    <w:rsid w:val="00047E9C"/>
    <w:rsid w:val="00085D6A"/>
    <w:rsid w:val="001337DA"/>
    <w:rsid w:val="002701F0"/>
    <w:rsid w:val="002A4D52"/>
    <w:rsid w:val="003D7407"/>
    <w:rsid w:val="0042588D"/>
    <w:rsid w:val="004D002F"/>
    <w:rsid w:val="00517622"/>
    <w:rsid w:val="00615C89"/>
    <w:rsid w:val="0063768C"/>
    <w:rsid w:val="00645ABA"/>
    <w:rsid w:val="006839EA"/>
    <w:rsid w:val="00737AFB"/>
    <w:rsid w:val="008C1AB8"/>
    <w:rsid w:val="009105CB"/>
    <w:rsid w:val="0093035B"/>
    <w:rsid w:val="00944BFE"/>
    <w:rsid w:val="009519FE"/>
    <w:rsid w:val="009C28EF"/>
    <w:rsid w:val="00A746DB"/>
    <w:rsid w:val="00AD26F7"/>
    <w:rsid w:val="00B47BFB"/>
    <w:rsid w:val="00D5607E"/>
    <w:rsid w:val="00D616B9"/>
    <w:rsid w:val="00EA414A"/>
    <w:rsid w:val="00F002E0"/>
    <w:rsid w:val="00F07663"/>
    <w:rsid w:val="00FA15D6"/>
    <w:rsid w:val="00FA5CEC"/>
    <w:rsid w:val="00FB25D8"/>
    <w:rsid w:val="00FC14C8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FE"/>
    <w:rPr>
      <w:rFonts w:asciiTheme="minorHAnsi" w:hAnsiTheme="minorHAnsi"/>
      <w:sz w:val="22"/>
    </w:rPr>
  </w:style>
  <w:style w:type="paragraph" w:styleId="7">
    <w:name w:val="heading 7"/>
    <w:link w:val="70"/>
    <w:uiPriority w:val="9"/>
    <w:qFormat/>
    <w:rsid w:val="00FA5CEC"/>
    <w:pPr>
      <w:spacing w:after="0" w:line="240" w:lineRule="auto"/>
      <w:outlineLvl w:val="6"/>
    </w:pPr>
    <w:rPr>
      <w:rFonts w:ascii="Franklin Gothic Heavy" w:eastAsia="Times New Roman" w:hAnsi="Franklin Gothic Heavy" w:cs="Times New Roman"/>
      <w:color w:val="66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5CEC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FA5CEC"/>
    <w:rPr>
      <w:rFonts w:ascii="Franklin Gothic Heavy" w:eastAsia="Times New Roman" w:hAnsi="Franklin Gothic Heavy" w:cs="Times New Roman"/>
      <w:color w:val="660000"/>
      <w:kern w:val="28"/>
      <w:sz w:val="28"/>
      <w:szCs w:val="28"/>
      <w:lang w:eastAsia="ru-RU"/>
    </w:rPr>
  </w:style>
  <w:style w:type="paragraph" w:customStyle="1" w:styleId="msoorganizationname">
    <w:name w:val="msoorganizationname"/>
    <w:rsid w:val="0063768C"/>
    <w:pPr>
      <w:spacing w:after="0" w:line="240" w:lineRule="auto"/>
    </w:pPr>
    <w:rPr>
      <w:rFonts w:ascii="Book Antiqua" w:eastAsia="Times New Roman" w:hAnsi="Book Antiqua" w:cs="Times New Roman"/>
      <w:caps/>
      <w:color w:val="66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sydisk.ru/dvd/7da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7D1DA3CB0D9341A5032393C2DEDA4D" ma:contentTypeVersion="2" ma:contentTypeDescription="Создание документа." ma:contentTypeScope="" ma:versionID="329786c1500c9853622bf4cabd0c6bf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070917F-A6F9-45A0-AC8E-04509498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8AEF5C-CDE5-4B5E-80C2-56FADB34E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4B7D8-56B5-441A-BD1C-367C842932F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Зачем нужна медиация буклет3</vt:lpstr>
    </vt:vector>
  </TitlesOfParts>
  <Company>School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Зачем нужна медиация буклет3</dc:title>
  <dc:subject/>
  <dc:creator>User</dc:creator>
  <cp:keywords/>
  <dc:description/>
  <cp:lastModifiedBy>Елена Валуенко</cp:lastModifiedBy>
  <cp:revision>13</cp:revision>
  <cp:lastPrinted>2016-04-20T08:55:00Z</cp:lastPrinted>
  <dcterms:created xsi:type="dcterms:W3CDTF">2014-12-18T18:51:00Z</dcterms:created>
  <dcterms:modified xsi:type="dcterms:W3CDTF">2023-04-10T07:47:00Z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0x0101008E7D1DA3CB0D9341A5032393C2DEDA4D</vt:lpwstr>
  </property>
</Properties>
</file>